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441" w:rsidRDefault="00196441" w:rsidP="00196441">
      <w:pPr>
        <w:contextualSpacing/>
        <w:rPr>
          <w:b/>
        </w:rPr>
      </w:pPr>
    </w:p>
    <w:p w:rsidR="005D1A45" w:rsidRPr="006C5BB3" w:rsidRDefault="005D1A45" w:rsidP="005D1A45">
      <w:pPr>
        <w:contextualSpacing/>
        <w:rPr>
          <w:rFonts w:ascii="Franklin Gothic Book" w:hAnsi="Franklin Gothic Book"/>
          <w:b/>
        </w:rPr>
      </w:pPr>
    </w:p>
    <w:p w:rsidR="00940093" w:rsidRDefault="00940093" w:rsidP="00940093">
      <w:pPr>
        <w:rPr>
          <w:rFonts w:ascii="Arial" w:hAnsi="Arial" w:cs="Arial"/>
          <w:b/>
          <w:color w:val="000000" w:themeColor="text1"/>
          <w:u w:val="single"/>
        </w:rPr>
      </w:pPr>
      <w:r>
        <w:rPr>
          <w:rFonts w:ascii="Arial" w:hAnsi="Arial" w:cs="Arial"/>
          <w:b/>
          <w:color w:val="000000" w:themeColor="text1"/>
          <w:u w:val="single"/>
        </w:rPr>
        <w:t>Eligibility Criteria</w:t>
      </w:r>
    </w:p>
    <w:p w:rsidR="00940093" w:rsidRDefault="00940093" w:rsidP="00940093">
      <w:pPr>
        <w:rPr>
          <w:rFonts w:ascii="Arial" w:hAnsi="Arial" w:cs="Arial"/>
          <w:color w:val="000000" w:themeColor="text1"/>
        </w:rPr>
      </w:pPr>
      <w:r>
        <w:rPr>
          <w:rFonts w:ascii="Arial" w:hAnsi="Arial" w:cs="Arial"/>
          <w:color w:val="000000" w:themeColor="text1"/>
        </w:rPr>
        <w:t xml:space="preserve">To be considered for the 2017 Equal Justice Works </w:t>
      </w:r>
      <w:r>
        <w:rPr>
          <w:rFonts w:ascii="Arial" w:hAnsi="Arial" w:cs="Arial"/>
          <w:color w:val="000000" w:themeColor="text1"/>
        </w:rPr>
        <w:t>Public Interest Awards, applicants must:</w:t>
      </w:r>
    </w:p>
    <w:p w:rsidR="00940093" w:rsidRDefault="00940093" w:rsidP="00940093">
      <w:pPr>
        <w:pStyle w:val="ListParagraph"/>
        <w:numPr>
          <w:ilvl w:val="0"/>
          <w:numId w:val="28"/>
        </w:numPr>
        <w:spacing w:after="0" w:line="240" w:lineRule="auto"/>
        <w:rPr>
          <w:rFonts w:ascii="Arial" w:hAnsi="Arial" w:cs="Arial"/>
          <w:color w:val="000000" w:themeColor="text1"/>
        </w:rPr>
      </w:pPr>
      <w:r>
        <w:rPr>
          <w:rFonts w:ascii="Arial" w:hAnsi="Arial" w:cs="Arial"/>
          <w:color w:val="000000" w:themeColor="text1"/>
        </w:rPr>
        <w:t>Be a current law student at an Equal Justice Works member school</w:t>
      </w:r>
    </w:p>
    <w:p w:rsidR="00940093" w:rsidRPr="00025B0E" w:rsidRDefault="00940093" w:rsidP="00940093">
      <w:pPr>
        <w:pStyle w:val="ListParagraph"/>
        <w:numPr>
          <w:ilvl w:val="0"/>
          <w:numId w:val="28"/>
        </w:numPr>
        <w:spacing w:after="0" w:line="240" w:lineRule="auto"/>
        <w:rPr>
          <w:rFonts w:ascii="Arial" w:hAnsi="Arial" w:cs="Arial"/>
          <w:color w:val="000000" w:themeColor="text1"/>
        </w:rPr>
      </w:pPr>
      <w:r>
        <w:rPr>
          <w:rFonts w:ascii="Arial" w:hAnsi="Arial" w:cs="Arial"/>
          <w:color w:val="000000" w:themeColor="text1"/>
        </w:rPr>
        <w:t xml:space="preserve">Have a </w:t>
      </w:r>
      <w:r w:rsidRPr="00025B0E">
        <w:rPr>
          <w:rFonts w:ascii="Arial" w:hAnsi="Arial" w:cs="Arial"/>
          <w:color w:val="000000" w:themeColor="text1"/>
        </w:rPr>
        <w:t>demonstrated commitment to public interest law and pro bono work</w:t>
      </w:r>
    </w:p>
    <w:p w:rsidR="00940093" w:rsidRPr="00025B0E" w:rsidRDefault="00940093" w:rsidP="00940093">
      <w:pPr>
        <w:rPr>
          <w:rFonts w:ascii="Arial" w:hAnsi="Arial" w:cs="Arial"/>
          <w:color w:val="000000" w:themeColor="text1"/>
        </w:rPr>
      </w:pPr>
    </w:p>
    <w:p w:rsidR="00940093" w:rsidRPr="00025B0E" w:rsidRDefault="00940093" w:rsidP="00940093">
      <w:pPr>
        <w:rPr>
          <w:rFonts w:ascii="Arial" w:hAnsi="Arial" w:cs="Arial"/>
          <w:color w:val="000000" w:themeColor="text1"/>
        </w:rPr>
      </w:pPr>
      <w:r w:rsidRPr="00025B0E">
        <w:rPr>
          <w:rFonts w:ascii="Arial" w:hAnsi="Arial" w:cs="Arial"/>
          <w:color w:val="000000" w:themeColor="text1"/>
        </w:rPr>
        <w:t>The following activities are illustrative of the qualifications that could comprise a successful application:</w:t>
      </w:r>
    </w:p>
    <w:p w:rsidR="00940093" w:rsidRPr="00025B0E" w:rsidRDefault="00940093" w:rsidP="00940093">
      <w:pPr>
        <w:pStyle w:val="ListParagraph"/>
        <w:numPr>
          <w:ilvl w:val="0"/>
          <w:numId w:val="30"/>
        </w:numPr>
        <w:spacing w:after="0" w:line="240" w:lineRule="auto"/>
        <w:rPr>
          <w:rFonts w:ascii="Arial" w:hAnsi="Arial" w:cs="Arial"/>
          <w:color w:val="000000" w:themeColor="text1"/>
        </w:rPr>
      </w:pPr>
      <w:r w:rsidRPr="00025B0E">
        <w:rPr>
          <w:rFonts w:ascii="Arial" w:hAnsi="Arial" w:cs="Arial"/>
          <w:color w:val="000000" w:themeColor="text1"/>
        </w:rPr>
        <w:t>Extraordinary service as an intern, extern, or pro bono volunteer with a legal service provider</w:t>
      </w:r>
    </w:p>
    <w:p w:rsidR="00940093" w:rsidRPr="00025B0E" w:rsidRDefault="00940093" w:rsidP="00940093">
      <w:pPr>
        <w:pStyle w:val="ListParagraph"/>
        <w:numPr>
          <w:ilvl w:val="0"/>
          <w:numId w:val="30"/>
        </w:numPr>
        <w:spacing w:after="0" w:line="240" w:lineRule="auto"/>
        <w:rPr>
          <w:rFonts w:ascii="Arial" w:hAnsi="Arial" w:cs="Arial"/>
          <w:color w:val="000000" w:themeColor="text1"/>
        </w:rPr>
      </w:pPr>
      <w:r w:rsidRPr="00025B0E">
        <w:rPr>
          <w:rFonts w:ascii="Arial" w:hAnsi="Arial" w:cs="Arial"/>
          <w:color w:val="000000" w:themeColor="text1"/>
        </w:rPr>
        <w:t>Development of a pro bono or public interest project</w:t>
      </w:r>
    </w:p>
    <w:p w:rsidR="00940093" w:rsidRPr="00025B0E" w:rsidRDefault="00940093" w:rsidP="00940093">
      <w:pPr>
        <w:pStyle w:val="ListParagraph"/>
        <w:numPr>
          <w:ilvl w:val="0"/>
          <w:numId w:val="30"/>
        </w:numPr>
        <w:spacing w:after="0" w:line="240" w:lineRule="auto"/>
        <w:rPr>
          <w:rFonts w:ascii="Arial" w:hAnsi="Arial" w:cs="Arial"/>
          <w:color w:val="000000" w:themeColor="text1"/>
        </w:rPr>
      </w:pPr>
      <w:r w:rsidRPr="00025B0E">
        <w:rPr>
          <w:rFonts w:ascii="Arial" w:hAnsi="Arial" w:cs="Arial"/>
          <w:color w:val="000000" w:themeColor="text1"/>
        </w:rPr>
        <w:t>Founding, creating, or leading  a student-run organization dedicated to pro bono or public interest law</w:t>
      </w:r>
    </w:p>
    <w:p w:rsidR="00940093" w:rsidRPr="00025B0E" w:rsidRDefault="00940093" w:rsidP="00940093">
      <w:pPr>
        <w:pStyle w:val="ListParagraph"/>
        <w:numPr>
          <w:ilvl w:val="0"/>
          <w:numId w:val="30"/>
        </w:numPr>
        <w:spacing w:after="0" w:line="240" w:lineRule="auto"/>
        <w:rPr>
          <w:rFonts w:ascii="Arial" w:hAnsi="Arial" w:cs="Arial"/>
          <w:color w:val="000000" w:themeColor="text1"/>
        </w:rPr>
      </w:pPr>
      <w:r w:rsidRPr="00025B0E">
        <w:rPr>
          <w:rFonts w:ascii="Arial" w:hAnsi="Arial" w:cs="Arial"/>
          <w:color w:val="000000" w:themeColor="text1"/>
        </w:rPr>
        <w:t>Expanding an existing pro bono or public interest program</w:t>
      </w:r>
    </w:p>
    <w:p w:rsidR="00940093" w:rsidRPr="00025B0E" w:rsidRDefault="00940093" w:rsidP="00940093">
      <w:pPr>
        <w:rPr>
          <w:rFonts w:ascii="Arial" w:hAnsi="Arial" w:cs="Arial"/>
          <w:color w:val="000000" w:themeColor="text1"/>
        </w:rPr>
      </w:pPr>
    </w:p>
    <w:p w:rsidR="00940093" w:rsidRPr="00025B0E" w:rsidRDefault="00940093" w:rsidP="00940093">
      <w:pPr>
        <w:rPr>
          <w:rFonts w:ascii="Arial" w:hAnsi="Arial" w:cs="Arial"/>
          <w:b/>
          <w:color w:val="000000" w:themeColor="text1"/>
          <w:u w:val="single"/>
        </w:rPr>
      </w:pPr>
      <w:r w:rsidRPr="00025B0E">
        <w:rPr>
          <w:rFonts w:ascii="Arial" w:hAnsi="Arial" w:cs="Arial"/>
          <w:b/>
          <w:color w:val="000000" w:themeColor="text1"/>
          <w:u w:val="single"/>
        </w:rPr>
        <w:t>Application Process</w:t>
      </w:r>
    </w:p>
    <w:p w:rsidR="00940093" w:rsidRPr="00025B0E" w:rsidRDefault="00940093" w:rsidP="00940093">
      <w:pPr>
        <w:rPr>
          <w:rFonts w:ascii="Arial" w:hAnsi="Arial" w:cs="Arial"/>
          <w:color w:val="000000" w:themeColor="text1"/>
        </w:rPr>
      </w:pPr>
      <w:r>
        <w:rPr>
          <w:rFonts w:ascii="Arial" w:hAnsi="Arial" w:cs="Arial"/>
          <w:color w:val="000000" w:themeColor="text1"/>
        </w:rPr>
        <w:t>Applications will open from</w:t>
      </w:r>
      <w:r w:rsidRPr="00025B0E">
        <w:rPr>
          <w:rFonts w:ascii="Arial" w:hAnsi="Arial" w:cs="Arial"/>
          <w:color w:val="000000" w:themeColor="text1"/>
        </w:rPr>
        <w:t xml:space="preserve"> </w:t>
      </w:r>
      <w:r w:rsidRPr="00025B0E">
        <w:rPr>
          <w:rFonts w:ascii="Arial" w:hAnsi="Arial" w:cs="Arial"/>
          <w:b/>
          <w:color w:val="000000" w:themeColor="text1"/>
          <w:u w:val="single"/>
        </w:rPr>
        <w:t>January 1</w:t>
      </w:r>
      <w:r>
        <w:rPr>
          <w:rFonts w:ascii="Arial" w:hAnsi="Arial" w:cs="Arial"/>
          <w:b/>
          <w:color w:val="000000" w:themeColor="text1"/>
          <w:u w:val="single"/>
        </w:rPr>
        <w:t>6, 2017</w:t>
      </w:r>
      <w:r>
        <w:rPr>
          <w:rFonts w:ascii="Arial" w:hAnsi="Arial" w:cs="Arial"/>
          <w:color w:val="000000" w:themeColor="text1"/>
        </w:rPr>
        <w:t xml:space="preserve"> to</w:t>
      </w:r>
      <w:r w:rsidRPr="00025B0E">
        <w:rPr>
          <w:rFonts w:ascii="Arial" w:hAnsi="Arial" w:cs="Arial"/>
          <w:color w:val="000000" w:themeColor="text1"/>
        </w:rPr>
        <w:t xml:space="preserve"> </w:t>
      </w:r>
      <w:r>
        <w:rPr>
          <w:rFonts w:ascii="Arial" w:hAnsi="Arial" w:cs="Arial"/>
          <w:b/>
          <w:color w:val="000000" w:themeColor="text1"/>
          <w:u w:val="single"/>
        </w:rPr>
        <w:t>March 3</w:t>
      </w:r>
      <w:r w:rsidRPr="00025B0E">
        <w:rPr>
          <w:rFonts w:ascii="Arial" w:hAnsi="Arial" w:cs="Arial"/>
          <w:b/>
          <w:color w:val="000000" w:themeColor="text1"/>
          <w:u w:val="single"/>
        </w:rPr>
        <w:t xml:space="preserve">, </w:t>
      </w:r>
      <w:r>
        <w:rPr>
          <w:rFonts w:ascii="Arial" w:hAnsi="Arial" w:cs="Arial"/>
          <w:b/>
          <w:color w:val="000000" w:themeColor="text1"/>
          <w:u w:val="single"/>
        </w:rPr>
        <w:t>2017</w:t>
      </w:r>
      <w:r>
        <w:rPr>
          <w:rFonts w:ascii="Arial" w:hAnsi="Arial" w:cs="Arial"/>
          <w:color w:val="000000" w:themeColor="text1"/>
        </w:rPr>
        <w:t>. A</w:t>
      </w:r>
      <w:r w:rsidRPr="00025B0E">
        <w:rPr>
          <w:rFonts w:ascii="Arial" w:hAnsi="Arial" w:cs="Arial"/>
          <w:color w:val="000000" w:themeColor="text1"/>
        </w:rPr>
        <w:t>ll applicants will be required to submit a:</w:t>
      </w:r>
    </w:p>
    <w:p w:rsidR="00940093" w:rsidRPr="00025B0E" w:rsidRDefault="00940093" w:rsidP="00940093">
      <w:pPr>
        <w:pStyle w:val="ListParagraph"/>
        <w:numPr>
          <w:ilvl w:val="0"/>
          <w:numId w:val="29"/>
        </w:numPr>
        <w:spacing w:after="0" w:line="240" w:lineRule="auto"/>
        <w:rPr>
          <w:rFonts w:ascii="Arial" w:hAnsi="Arial" w:cs="Arial"/>
          <w:color w:val="000000" w:themeColor="text1"/>
        </w:rPr>
      </w:pPr>
      <w:r w:rsidRPr="00025B0E">
        <w:rPr>
          <w:rFonts w:ascii="Arial" w:hAnsi="Arial" w:cs="Arial"/>
          <w:b/>
          <w:color w:val="000000" w:themeColor="text1"/>
        </w:rPr>
        <w:t>Personal Statement</w:t>
      </w:r>
      <w:r w:rsidRPr="00025B0E">
        <w:rPr>
          <w:rFonts w:ascii="Arial" w:hAnsi="Arial" w:cs="Arial"/>
          <w:color w:val="000000" w:themeColor="text1"/>
        </w:rPr>
        <w:t xml:space="preserve"> describing the applicant’s outstanding public interest legal work in service to disadvantaged or marginalized groups and significant contributions to closing the justice gap (2 page limit)</w:t>
      </w:r>
    </w:p>
    <w:p w:rsidR="00940093" w:rsidRDefault="00940093" w:rsidP="00940093">
      <w:pPr>
        <w:pStyle w:val="ListParagraph"/>
        <w:numPr>
          <w:ilvl w:val="0"/>
          <w:numId w:val="29"/>
        </w:numPr>
        <w:spacing w:after="0" w:line="240" w:lineRule="auto"/>
        <w:rPr>
          <w:rFonts w:ascii="Arial" w:hAnsi="Arial" w:cs="Arial"/>
          <w:color w:val="000000" w:themeColor="text1"/>
        </w:rPr>
      </w:pPr>
      <w:r w:rsidRPr="00025B0E">
        <w:rPr>
          <w:rFonts w:ascii="Arial" w:hAnsi="Arial" w:cs="Arial"/>
          <w:b/>
          <w:color w:val="000000" w:themeColor="text1"/>
        </w:rPr>
        <w:t xml:space="preserve">Two References </w:t>
      </w:r>
      <w:r w:rsidRPr="00025B0E">
        <w:rPr>
          <w:rFonts w:ascii="Arial" w:hAnsi="Arial" w:cs="Arial"/>
          <w:color w:val="000000" w:themeColor="text1"/>
        </w:rPr>
        <w:t>who are familiar with the applicant’s work – preferably law school faculty members, supervising attorneys, or anyone who can accurately and knowledgeably describe the applicant’s commitment to public service (see Addendum)</w:t>
      </w:r>
    </w:p>
    <w:p w:rsidR="00940093" w:rsidRDefault="00940093" w:rsidP="00940093">
      <w:pPr>
        <w:spacing w:after="0" w:line="240" w:lineRule="auto"/>
        <w:rPr>
          <w:rFonts w:ascii="Arial" w:hAnsi="Arial" w:cs="Arial"/>
          <w:color w:val="000000" w:themeColor="text1"/>
        </w:rPr>
      </w:pPr>
    </w:p>
    <w:p w:rsidR="00940093" w:rsidRPr="00940093" w:rsidRDefault="00940093" w:rsidP="00940093">
      <w:pPr>
        <w:spacing w:after="0" w:line="240" w:lineRule="auto"/>
        <w:rPr>
          <w:rFonts w:ascii="Arial" w:hAnsi="Arial" w:cs="Arial"/>
          <w:color w:val="000000" w:themeColor="text1"/>
        </w:rPr>
      </w:pPr>
      <w:r>
        <w:rPr>
          <w:rFonts w:ascii="Arial" w:hAnsi="Arial" w:cs="Arial"/>
          <w:color w:val="000000" w:themeColor="text1"/>
        </w:rPr>
        <w:t>We will forward this information to all NAC members.</w:t>
      </w:r>
    </w:p>
    <w:p w:rsidR="00940093" w:rsidRPr="00025B0E" w:rsidRDefault="00940093" w:rsidP="00940093">
      <w:pPr>
        <w:rPr>
          <w:rFonts w:ascii="Arial" w:hAnsi="Arial" w:cs="Arial"/>
          <w:color w:val="000000" w:themeColor="text1"/>
        </w:rPr>
      </w:pPr>
    </w:p>
    <w:p w:rsidR="00940093" w:rsidRPr="00940093" w:rsidRDefault="00940093" w:rsidP="00940093">
      <w:pPr>
        <w:rPr>
          <w:rFonts w:ascii="Arial" w:hAnsi="Arial" w:cs="Arial"/>
          <w:b/>
          <w:color w:val="000000" w:themeColor="text1"/>
          <w:u w:val="single"/>
        </w:rPr>
      </w:pPr>
      <w:r w:rsidRPr="00025B0E">
        <w:rPr>
          <w:rFonts w:ascii="Arial" w:hAnsi="Arial" w:cs="Arial"/>
          <w:b/>
          <w:color w:val="000000" w:themeColor="text1"/>
          <w:u w:val="single"/>
        </w:rPr>
        <w:t>Selection Criteria</w:t>
      </w:r>
    </w:p>
    <w:p w:rsidR="00940093" w:rsidRPr="00025B0E" w:rsidRDefault="00940093" w:rsidP="00940093">
      <w:pPr>
        <w:rPr>
          <w:rFonts w:ascii="Arial" w:hAnsi="Arial" w:cs="Arial"/>
          <w:color w:val="000000" w:themeColor="text1"/>
        </w:rPr>
      </w:pPr>
      <w:r w:rsidRPr="00025B0E">
        <w:rPr>
          <w:rFonts w:ascii="Arial" w:hAnsi="Arial" w:cs="Arial"/>
          <w:color w:val="000000" w:themeColor="text1"/>
        </w:rPr>
        <w:t>Award recipients will be recognized for their exceptional contributions and achievements in one or more of the following areas:</w:t>
      </w:r>
    </w:p>
    <w:p w:rsidR="00940093" w:rsidRPr="00025B0E" w:rsidRDefault="00940093" w:rsidP="00940093">
      <w:pPr>
        <w:rPr>
          <w:rFonts w:ascii="Arial" w:hAnsi="Arial" w:cs="Arial"/>
          <w:b/>
          <w:color w:val="000000" w:themeColor="text1"/>
        </w:rPr>
      </w:pPr>
      <w:r w:rsidRPr="00025B0E">
        <w:rPr>
          <w:rFonts w:ascii="Arial" w:hAnsi="Arial" w:cs="Arial"/>
          <w:b/>
          <w:color w:val="000000" w:themeColor="text1"/>
        </w:rPr>
        <w:t>Commitment</w:t>
      </w:r>
    </w:p>
    <w:p w:rsidR="00940093" w:rsidRPr="00025B0E" w:rsidRDefault="00940093" w:rsidP="00940093">
      <w:pPr>
        <w:rPr>
          <w:rFonts w:ascii="Arial" w:hAnsi="Arial" w:cs="Arial"/>
          <w:i/>
          <w:color w:val="000000" w:themeColor="text1"/>
        </w:rPr>
      </w:pPr>
      <w:r w:rsidRPr="00025B0E">
        <w:rPr>
          <w:rFonts w:ascii="Arial" w:hAnsi="Arial" w:cs="Arial"/>
          <w:i/>
          <w:color w:val="000000" w:themeColor="text1"/>
        </w:rPr>
        <w:t>An extraordinary commitment to service to public service as: an intern, extern, or pro bono volunteer with a legal service provider; the developer of a pro bono or public interest project; a founder or leader of a student-run organization; a leader of an existing pro bono or public interest program</w:t>
      </w:r>
    </w:p>
    <w:p w:rsidR="00940093" w:rsidRPr="00025B0E" w:rsidRDefault="00940093" w:rsidP="00940093">
      <w:pPr>
        <w:rPr>
          <w:rFonts w:ascii="Arial" w:hAnsi="Arial" w:cs="Arial"/>
          <w:i/>
          <w:color w:val="000000" w:themeColor="text1"/>
        </w:rPr>
      </w:pPr>
      <w:r w:rsidRPr="00025B0E">
        <w:rPr>
          <w:rFonts w:ascii="Arial" w:hAnsi="Arial" w:cs="Arial"/>
          <w:i/>
          <w:color w:val="000000" w:themeColor="text1"/>
        </w:rPr>
        <w:t>(30 points)</w:t>
      </w:r>
    </w:p>
    <w:p w:rsidR="00940093" w:rsidRPr="00025B0E" w:rsidRDefault="00940093" w:rsidP="00940093">
      <w:pPr>
        <w:rPr>
          <w:rFonts w:ascii="Arial" w:hAnsi="Arial" w:cs="Arial"/>
          <w:i/>
          <w:color w:val="000000" w:themeColor="text1"/>
        </w:rPr>
      </w:pPr>
    </w:p>
    <w:p w:rsidR="00940093" w:rsidRPr="00025B0E" w:rsidRDefault="00940093" w:rsidP="00940093">
      <w:pPr>
        <w:rPr>
          <w:rFonts w:ascii="Arial" w:hAnsi="Arial" w:cs="Arial"/>
          <w:b/>
          <w:color w:val="000000" w:themeColor="text1"/>
        </w:rPr>
      </w:pPr>
      <w:r w:rsidRPr="00025B0E">
        <w:rPr>
          <w:rFonts w:ascii="Arial" w:hAnsi="Arial" w:cs="Arial"/>
          <w:b/>
          <w:color w:val="000000" w:themeColor="text1"/>
        </w:rPr>
        <w:lastRenderedPageBreak/>
        <w:t>Impact</w:t>
      </w:r>
    </w:p>
    <w:p w:rsidR="00940093" w:rsidRPr="00025B0E" w:rsidRDefault="00940093" w:rsidP="00940093">
      <w:pPr>
        <w:rPr>
          <w:rFonts w:ascii="Arial" w:hAnsi="Arial" w:cs="Arial"/>
          <w:i/>
          <w:color w:val="000000" w:themeColor="text1"/>
        </w:rPr>
      </w:pPr>
      <w:r w:rsidRPr="00025B0E">
        <w:rPr>
          <w:rFonts w:ascii="Arial" w:hAnsi="Arial" w:cs="Arial"/>
          <w:i/>
          <w:color w:val="000000" w:themeColor="text1"/>
        </w:rPr>
        <w:t>The quality of work performed as a public interest law student and the significance of their work on the community, fellow students, and law school</w:t>
      </w:r>
    </w:p>
    <w:p w:rsidR="00940093" w:rsidRPr="00025B0E" w:rsidRDefault="00940093" w:rsidP="00940093">
      <w:pPr>
        <w:rPr>
          <w:rFonts w:ascii="Arial" w:hAnsi="Arial" w:cs="Arial"/>
          <w:i/>
          <w:color w:val="000000" w:themeColor="text1"/>
        </w:rPr>
      </w:pPr>
      <w:r w:rsidRPr="00025B0E">
        <w:rPr>
          <w:rFonts w:ascii="Arial" w:hAnsi="Arial" w:cs="Arial"/>
          <w:i/>
          <w:color w:val="000000" w:themeColor="text1"/>
        </w:rPr>
        <w:t>(30 points)</w:t>
      </w:r>
    </w:p>
    <w:p w:rsidR="00940093" w:rsidRPr="00025B0E" w:rsidRDefault="00940093" w:rsidP="00940093">
      <w:pPr>
        <w:rPr>
          <w:rFonts w:ascii="Arial" w:hAnsi="Arial" w:cs="Arial"/>
          <w:i/>
          <w:color w:val="000000" w:themeColor="text1"/>
        </w:rPr>
      </w:pPr>
      <w:r w:rsidRPr="00025B0E">
        <w:rPr>
          <w:rFonts w:ascii="Arial" w:hAnsi="Arial" w:cs="Arial"/>
          <w:b/>
          <w:color w:val="000000" w:themeColor="text1"/>
        </w:rPr>
        <w:t>Creativity/ Originality</w:t>
      </w:r>
    </w:p>
    <w:p w:rsidR="00940093" w:rsidRPr="00025B0E" w:rsidRDefault="00940093" w:rsidP="00940093">
      <w:pPr>
        <w:rPr>
          <w:rFonts w:ascii="Arial" w:hAnsi="Arial" w:cs="Arial"/>
          <w:i/>
          <w:color w:val="000000" w:themeColor="text1"/>
        </w:rPr>
      </w:pPr>
      <w:r w:rsidRPr="00025B0E">
        <w:rPr>
          <w:rFonts w:ascii="Arial" w:hAnsi="Arial" w:cs="Arial"/>
          <w:i/>
          <w:color w:val="000000" w:themeColor="text1"/>
        </w:rPr>
        <w:t>New, expanded, or unique improvements on the traditional delivery of public interest or pro bono legal services</w:t>
      </w:r>
    </w:p>
    <w:p w:rsidR="00940093" w:rsidRPr="00940093" w:rsidRDefault="00940093" w:rsidP="00940093">
      <w:pPr>
        <w:rPr>
          <w:rFonts w:ascii="Arial" w:hAnsi="Arial" w:cs="Arial"/>
          <w:i/>
          <w:color w:val="000000" w:themeColor="text1"/>
        </w:rPr>
      </w:pPr>
      <w:r w:rsidRPr="00025B0E">
        <w:rPr>
          <w:rFonts w:ascii="Arial" w:hAnsi="Arial" w:cs="Arial"/>
          <w:i/>
          <w:color w:val="000000" w:themeColor="text1"/>
        </w:rPr>
        <w:t>(15 points)</w:t>
      </w:r>
    </w:p>
    <w:p w:rsidR="00940093" w:rsidRPr="00025B0E" w:rsidRDefault="00940093" w:rsidP="00940093">
      <w:pPr>
        <w:rPr>
          <w:rFonts w:ascii="Arial" w:hAnsi="Arial" w:cs="Arial"/>
          <w:b/>
          <w:color w:val="000000" w:themeColor="text1"/>
        </w:rPr>
      </w:pPr>
      <w:r w:rsidRPr="00025B0E">
        <w:rPr>
          <w:rFonts w:ascii="Arial" w:hAnsi="Arial" w:cs="Arial"/>
          <w:b/>
          <w:color w:val="000000" w:themeColor="text1"/>
        </w:rPr>
        <w:t>Permanence/Replicability</w:t>
      </w:r>
    </w:p>
    <w:p w:rsidR="00940093" w:rsidRPr="00025B0E" w:rsidRDefault="00940093" w:rsidP="00940093">
      <w:pPr>
        <w:rPr>
          <w:rFonts w:ascii="Arial" w:hAnsi="Arial" w:cs="Arial"/>
          <w:i/>
          <w:color w:val="000000" w:themeColor="text1"/>
        </w:rPr>
      </w:pPr>
      <w:r w:rsidRPr="00025B0E">
        <w:rPr>
          <w:rFonts w:ascii="Arial" w:hAnsi="Arial" w:cs="Arial"/>
          <w:i/>
          <w:color w:val="000000" w:themeColor="text1"/>
        </w:rPr>
        <w:t>Likelihood that the student’s project will be continued beyond their tenure in law school and/or could be implemented by other law students or legal service providers</w:t>
      </w:r>
    </w:p>
    <w:p w:rsidR="00940093" w:rsidRPr="00940093" w:rsidRDefault="00940093" w:rsidP="00940093">
      <w:pPr>
        <w:rPr>
          <w:rFonts w:ascii="Arial" w:hAnsi="Arial" w:cs="Arial"/>
          <w:i/>
          <w:color w:val="000000" w:themeColor="text1"/>
        </w:rPr>
      </w:pPr>
      <w:r w:rsidRPr="00025B0E">
        <w:rPr>
          <w:rFonts w:ascii="Arial" w:hAnsi="Arial" w:cs="Arial"/>
          <w:i/>
          <w:color w:val="000000" w:themeColor="text1"/>
        </w:rPr>
        <w:t>(15 points)</w:t>
      </w:r>
    </w:p>
    <w:p w:rsidR="00940093" w:rsidRPr="00025B0E" w:rsidRDefault="00940093" w:rsidP="00940093">
      <w:pPr>
        <w:rPr>
          <w:rFonts w:ascii="Arial" w:hAnsi="Arial" w:cs="Arial"/>
          <w:b/>
          <w:color w:val="000000" w:themeColor="text1"/>
        </w:rPr>
      </w:pPr>
      <w:r w:rsidRPr="00025B0E">
        <w:rPr>
          <w:rFonts w:ascii="Arial" w:hAnsi="Arial" w:cs="Arial"/>
          <w:b/>
          <w:color w:val="000000" w:themeColor="text1"/>
        </w:rPr>
        <w:t>Longevity</w:t>
      </w:r>
    </w:p>
    <w:p w:rsidR="00940093" w:rsidRPr="00025B0E" w:rsidRDefault="00940093" w:rsidP="00940093">
      <w:pPr>
        <w:rPr>
          <w:rFonts w:ascii="Arial" w:hAnsi="Arial" w:cs="Arial"/>
          <w:i/>
          <w:color w:val="000000" w:themeColor="text1"/>
        </w:rPr>
      </w:pPr>
      <w:r w:rsidRPr="00025B0E">
        <w:rPr>
          <w:rFonts w:ascii="Arial" w:hAnsi="Arial" w:cs="Arial"/>
          <w:i/>
          <w:color w:val="000000" w:themeColor="text1"/>
        </w:rPr>
        <w:t>Long-term interest in becoming a nonprofit, government, or public interest attorney or continuing to participate in pro bono activities throughout a legal career</w:t>
      </w:r>
    </w:p>
    <w:p w:rsidR="00940093" w:rsidRPr="00025B0E" w:rsidRDefault="00940093" w:rsidP="00940093">
      <w:pPr>
        <w:rPr>
          <w:rFonts w:ascii="Arial" w:hAnsi="Arial" w:cs="Arial"/>
          <w:i/>
          <w:color w:val="000000" w:themeColor="text1"/>
        </w:rPr>
      </w:pPr>
      <w:r w:rsidRPr="00025B0E">
        <w:rPr>
          <w:rFonts w:ascii="Arial" w:hAnsi="Arial" w:cs="Arial"/>
          <w:i/>
          <w:color w:val="000000" w:themeColor="text1"/>
        </w:rPr>
        <w:t>(10 points)</w:t>
      </w:r>
    </w:p>
    <w:p w:rsidR="00940093" w:rsidRPr="00025B0E" w:rsidRDefault="00940093" w:rsidP="00940093">
      <w:pPr>
        <w:rPr>
          <w:rFonts w:ascii="Arial" w:hAnsi="Arial" w:cs="Arial"/>
          <w:b/>
          <w:color w:val="000000" w:themeColor="text1"/>
          <w:u w:val="single"/>
        </w:rPr>
      </w:pPr>
    </w:p>
    <w:p w:rsidR="00940093" w:rsidRPr="00940093" w:rsidRDefault="00940093" w:rsidP="00940093">
      <w:pPr>
        <w:rPr>
          <w:rFonts w:ascii="Arial" w:hAnsi="Arial" w:cs="Arial"/>
          <w:b/>
          <w:color w:val="000000" w:themeColor="text1"/>
          <w:u w:val="single"/>
        </w:rPr>
      </w:pPr>
      <w:r>
        <w:rPr>
          <w:rFonts w:ascii="Arial" w:hAnsi="Arial" w:cs="Arial"/>
          <w:b/>
          <w:color w:val="000000" w:themeColor="text1"/>
          <w:u w:val="single"/>
        </w:rPr>
        <w:t>Review Proce</w:t>
      </w:r>
      <w:r w:rsidRPr="00025B0E">
        <w:rPr>
          <w:rFonts w:ascii="Arial" w:hAnsi="Arial" w:cs="Arial"/>
          <w:b/>
          <w:color w:val="000000" w:themeColor="text1"/>
          <w:u w:val="single"/>
        </w:rPr>
        <w:t>ss</w:t>
      </w:r>
    </w:p>
    <w:p w:rsidR="00940093" w:rsidRPr="00025B0E" w:rsidRDefault="00940093" w:rsidP="00940093">
      <w:pPr>
        <w:rPr>
          <w:rFonts w:ascii="Arial" w:hAnsi="Arial" w:cs="Arial"/>
          <w:b/>
          <w:color w:val="000000" w:themeColor="text1"/>
        </w:rPr>
      </w:pPr>
      <w:r>
        <w:rPr>
          <w:rFonts w:ascii="Arial" w:hAnsi="Arial" w:cs="Arial"/>
          <w:b/>
          <w:color w:val="000000" w:themeColor="text1"/>
        </w:rPr>
        <w:t>February 2017</w:t>
      </w:r>
    </w:p>
    <w:p w:rsidR="00940093" w:rsidRPr="00025B0E" w:rsidRDefault="00940093" w:rsidP="00940093">
      <w:pPr>
        <w:rPr>
          <w:rFonts w:ascii="Arial" w:hAnsi="Arial" w:cs="Arial"/>
          <w:color w:val="000000" w:themeColor="text1"/>
        </w:rPr>
      </w:pPr>
      <w:r w:rsidRPr="00025B0E">
        <w:rPr>
          <w:rFonts w:ascii="Arial" w:hAnsi="Arial" w:cs="Arial"/>
          <w:color w:val="000000" w:themeColor="text1"/>
        </w:rPr>
        <w:t>The National Advisory Committee members will begin to review submitted applications from their respective region and follow up as necessary with potential awardees. Each region of Committee members are free to review applications by whatever method they see fit (conference call, Skype, Gchat, email, etc.).</w:t>
      </w:r>
    </w:p>
    <w:p w:rsidR="00940093" w:rsidRDefault="00940093" w:rsidP="00940093">
      <w:pPr>
        <w:rPr>
          <w:rFonts w:ascii="Arial" w:hAnsi="Arial" w:cs="Arial"/>
          <w:color w:val="000000" w:themeColor="text1"/>
        </w:rPr>
      </w:pPr>
      <w:r w:rsidRPr="00025B0E">
        <w:rPr>
          <w:rFonts w:ascii="Arial" w:hAnsi="Arial" w:cs="Arial"/>
          <w:color w:val="000000" w:themeColor="text1"/>
          <w:u w:val="single"/>
        </w:rPr>
        <w:t>Each applicant has the potential to score 100 points</w:t>
      </w:r>
      <w:r w:rsidRPr="00025B0E">
        <w:rPr>
          <w:rFonts w:ascii="Arial" w:hAnsi="Arial" w:cs="Arial"/>
          <w:color w:val="000000" w:themeColor="text1"/>
        </w:rPr>
        <w:t>. The highest-scoring applicant from</w:t>
      </w:r>
      <w:r>
        <w:rPr>
          <w:rFonts w:ascii="Arial" w:hAnsi="Arial" w:cs="Arial"/>
          <w:color w:val="000000" w:themeColor="text1"/>
        </w:rPr>
        <w:t xml:space="preserve"> each region will receive a 2017</w:t>
      </w:r>
      <w:r w:rsidRPr="00025B0E">
        <w:rPr>
          <w:rFonts w:ascii="Arial" w:hAnsi="Arial" w:cs="Arial"/>
          <w:color w:val="000000" w:themeColor="text1"/>
        </w:rPr>
        <w:t xml:space="preserve"> Equal Justice Works Public Interest Award.</w:t>
      </w:r>
    </w:p>
    <w:p w:rsidR="00940093" w:rsidRDefault="00940093" w:rsidP="00940093">
      <w:pPr>
        <w:rPr>
          <w:rFonts w:ascii="Arial" w:hAnsi="Arial" w:cs="Arial"/>
          <w:color w:val="000000" w:themeColor="text1"/>
        </w:rPr>
      </w:pPr>
      <w:r>
        <w:rPr>
          <w:rFonts w:ascii="Arial" w:hAnsi="Arial" w:cs="Arial"/>
          <w:color w:val="000000" w:themeColor="text1"/>
        </w:rPr>
        <w:t xml:space="preserve">If more information is needed to make a decision, the National Advisory Committee may choose to contact the applicant’s two accompanying references. </w:t>
      </w:r>
    </w:p>
    <w:p w:rsidR="00940093" w:rsidRDefault="00940093" w:rsidP="00940093">
      <w:pPr>
        <w:rPr>
          <w:rFonts w:ascii="Arial" w:hAnsi="Arial" w:cs="Arial"/>
          <w:color w:val="000000" w:themeColor="text1"/>
        </w:rPr>
      </w:pPr>
      <w:r>
        <w:rPr>
          <w:rFonts w:ascii="Arial" w:hAnsi="Arial" w:cs="Arial"/>
          <w:color w:val="000000" w:themeColor="text1"/>
        </w:rPr>
        <w:t>Recusal is allowed for National Advisory Committee members who find themselves reviewing a personal contact’s application. Recusals, and the selection of an alternative reviewer, will be provided on a case-by-case basis.</w:t>
      </w:r>
    </w:p>
    <w:p w:rsidR="00940093" w:rsidRDefault="00940093" w:rsidP="00940093">
      <w:pPr>
        <w:rPr>
          <w:rFonts w:ascii="Arial" w:hAnsi="Arial" w:cs="Arial"/>
          <w:color w:val="000000" w:themeColor="text1"/>
        </w:rPr>
      </w:pPr>
    </w:p>
    <w:p w:rsidR="00940093" w:rsidRPr="00A87C31" w:rsidRDefault="00940093" w:rsidP="00940093">
      <w:pPr>
        <w:rPr>
          <w:rFonts w:ascii="Arial" w:hAnsi="Arial" w:cs="Arial"/>
          <w:b/>
          <w:color w:val="000000" w:themeColor="text1"/>
        </w:rPr>
      </w:pPr>
      <w:r>
        <w:rPr>
          <w:rFonts w:ascii="Arial" w:hAnsi="Arial" w:cs="Arial"/>
          <w:b/>
          <w:color w:val="000000" w:themeColor="text1"/>
        </w:rPr>
        <w:lastRenderedPageBreak/>
        <w:t>March 2017</w:t>
      </w:r>
    </w:p>
    <w:p w:rsidR="00940093" w:rsidRDefault="00940093" w:rsidP="00940093">
      <w:pPr>
        <w:rPr>
          <w:rFonts w:ascii="Arial" w:hAnsi="Arial" w:cs="Arial"/>
          <w:color w:val="000000" w:themeColor="text1"/>
        </w:rPr>
      </w:pPr>
      <w:r>
        <w:rPr>
          <w:rFonts w:ascii="Arial" w:hAnsi="Arial" w:cs="Arial"/>
          <w:color w:val="000000" w:themeColor="text1"/>
        </w:rPr>
        <w:t>The National Advisory Committee members will forward the selected award winners’ application packages to Equal Justice Works for review.</w:t>
      </w:r>
    </w:p>
    <w:p w:rsidR="00940093" w:rsidRDefault="00940093" w:rsidP="00940093">
      <w:pPr>
        <w:rPr>
          <w:rFonts w:ascii="Arial" w:hAnsi="Arial" w:cs="Arial"/>
          <w:color w:val="000000" w:themeColor="text1"/>
        </w:rPr>
      </w:pPr>
      <w:r>
        <w:rPr>
          <w:rFonts w:ascii="Arial" w:hAnsi="Arial" w:cs="Arial"/>
          <w:color w:val="000000" w:themeColor="text1"/>
        </w:rPr>
        <w:t>After approval, each region is free to announce the winners and arrange logistics for the awards ceremony.</w:t>
      </w:r>
    </w:p>
    <w:p w:rsidR="00940093" w:rsidRDefault="00940093" w:rsidP="00940093">
      <w:pPr>
        <w:rPr>
          <w:rFonts w:ascii="Arial" w:hAnsi="Arial" w:cs="Arial"/>
          <w:color w:val="000000" w:themeColor="text1"/>
        </w:rPr>
      </w:pPr>
      <w:bookmarkStart w:id="0" w:name="_GoBack"/>
      <w:bookmarkEnd w:id="0"/>
    </w:p>
    <w:p w:rsidR="00C01D87" w:rsidRPr="00C01D87" w:rsidRDefault="00C01D87" w:rsidP="00196441">
      <w:pPr>
        <w:contextualSpacing/>
        <w:rPr>
          <w:b/>
        </w:rPr>
      </w:pPr>
    </w:p>
    <w:sectPr w:rsidR="00C01D87" w:rsidRPr="00C01D87" w:rsidSect="00AD614C">
      <w:headerReference w:type="default" r:id="rId8"/>
      <w:footerReference w:type="default" r:id="rId9"/>
      <w:headerReference w:type="first" r:id="rId10"/>
      <w:footerReference w:type="first" r:id="rId11"/>
      <w:pgSz w:w="12240" w:h="15840"/>
      <w:pgMar w:top="1440" w:right="1440" w:bottom="810" w:left="1296"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43C" w:rsidRDefault="0064043C" w:rsidP="008B6817">
      <w:pPr>
        <w:spacing w:after="0" w:line="240" w:lineRule="auto"/>
      </w:pPr>
      <w:r>
        <w:separator/>
      </w:r>
    </w:p>
  </w:endnote>
  <w:endnote w:type="continuationSeparator" w:id="0">
    <w:p w:rsidR="0064043C" w:rsidRDefault="0064043C" w:rsidP="008B6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817" w:rsidRPr="008B6817" w:rsidRDefault="000E2D50" w:rsidP="008B6817">
    <w:pPr>
      <w:pStyle w:val="Footer"/>
      <w:jc w:val="right"/>
      <w:rPr>
        <w:rFonts w:ascii="Franklin Gothic Book" w:hAnsi="Franklin Gothic Book"/>
        <w:color w:val="55565A" w:themeColor="accent5"/>
        <w:sz w:val="16"/>
        <w:szCs w:val="16"/>
      </w:rPr>
    </w:pPr>
    <w:r>
      <w:rPr>
        <w:rFonts w:ascii="Franklin Gothic Book" w:hAnsi="Franklin Gothic Book"/>
        <w:color w:val="55565A" w:themeColor="accent5"/>
        <w:sz w:val="16"/>
        <w:szCs w:val="16"/>
      </w:rPr>
      <w:t xml:space="preserve">Equal Justice Works │ </w:t>
    </w:r>
    <w:r w:rsidR="008B6817" w:rsidRPr="000E2D50">
      <w:rPr>
        <w:rFonts w:ascii="Franklin Gothic Medium" w:hAnsi="Franklin Gothic Medium"/>
        <w:color w:val="55565A" w:themeColor="accent5"/>
        <w:sz w:val="16"/>
        <w:szCs w:val="16"/>
      </w:rPr>
      <w:t xml:space="preserve">Page </w:t>
    </w:r>
    <w:r w:rsidR="008B6817" w:rsidRPr="000E2D50">
      <w:rPr>
        <w:rFonts w:ascii="Franklin Gothic Medium" w:hAnsi="Franklin Gothic Medium"/>
        <w:color w:val="55565A" w:themeColor="accent5"/>
        <w:sz w:val="16"/>
        <w:szCs w:val="16"/>
      </w:rPr>
      <w:fldChar w:fldCharType="begin"/>
    </w:r>
    <w:r w:rsidR="008B6817" w:rsidRPr="000E2D50">
      <w:rPr>
        <w:rFonts w:ascii="Franklin Gothic Medium" w:hAnsi="Franklin Gothic Medium"/>
        <w:color w:val="55565A" w:themeColor="accent5"/>
        <w:sz w:val="16"/>
        <w:szCs w:val="16"/>
      </w:rPr>
      <w:instrText xml:space="preserve"> PAGE   \* MERGEFORMAT </w:instrText>
    </w:r>
    <w:r w:rsidR="008B6817" w:rsidRPr="000E2D50">
      <w:rPr>
        <w:rFonts w:ascii="Franklin Gothic Medium" w:hAnsi="Franklin Gothic Medium"/>
        <w:color w:val="55565A" w:themeColor="accent5"/>
        <w:sz w:val="16"/>
        <w:szCs w:val="16"/>
      </w:rPr>
      <w:fldChar w:fldCharType="separate"/>
    </w:r>
    <w:r w:rsidR="00940093">
      <w:rPr>
        <w:rFonts w:ascii="Franklin Gothic Medium" w:hAnsi="Franklin Gothic Medium"/>
        <w:noProof/>
        <w:color w:val="55565A" w:themeColor="accent5"/>
        <w:sz w:val="16"/>
        <w:szCs w:val="16"/>
      </w:rPr>
      <w:t>3</w:t>
    </w:r>
    <w:r w:rsidR="008B6817" w:rsidRPr="000E2D50">
      <w:rPr>
        <w:rFonts w:ascii="Franklin Gothic Medium" w:hAnsi="Franklin Gothic Medium"/>
        <w:noProof/>
        <w:color w:val="55565A" w:themeColor="accent5"/>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38E" w:rsidRPr="0086638E" w:rsidRDefault="0086638E" w:rsidP="0086638E">
    <w:pPr>
      <w:pStyle w:val="Footer"/>
      <w:jc w:val="right"/>
      <w:rPr>
        <w:rFonts w:ascii="Franklin Gothic Book" w:hAnsi="Franklin Gothic Book"/>
        <w:color w:val="55565A" w:themeColor="accent5"/>
        <w:sz w:val="16"/>
        <w:szCs w:val="16"/>
      </w:rPr>
    </w:pPr>
    <w:r>
      <w:rPr>
        <w:rFonts w:ascii="Franklin Gothic Book" w:hAnsi="Franklin Gothic Book"/>
        <w:color w:val="55565A" w:themeColor="accent5"/>
        <w:sz w:val="16"/>
        <w:szCs w:val="16"/>
      </w:rPr>
      <w:t xml:space="preserve">Equal Justice Works │ </w:t>
    </w:r>
    <w:r w:rsidRPr="000E2D50">
      <w:rPr>
        <w:rFonts w:ascii="Franklin Gothic Medium" w:hAnsi="Franklin Gothic Medium"/>
        <w:color w:val="55565A" w:themeColor="accent5"/>
        <w:sz w:val="16"/>
        <w:szCs w:val="16"/>
      </w:rPr>
      <w:t xml:space="preserve">Page </w:t>
    </w:r>
    <w:r w:rsidRPr="000E2D50">
      <w:rPr>
        <w:rFonts w:ascii="Franklin Gothic Medium" w:hAnsi="Franklin Gothic Medium"/>
        <w:color w:val="55565A" w:themeColor="accent5"/>
        <w:sz w:val="16"/>
        <w:szCs w:val="16"/>
      </w:rPr>
      <w:fldChar w:fldCharType="begin"/>
    </w:r>
    <w:r w:rsidRPr="000E2D50">
      <w:rPr>
        <w:rFonts w:ascii="Franklin Gothic Medium" w:hAnsi="Franklin Gothic Medium"/>
        <w:color w:val="55565A" w:themeColor="accent5"/>
        <w:sz w:val="16"/>
        <w:szCs w:val="16"/>
      </w:rPr>
      <w:instrText xml:space="preserve"> PAGE   \* MERGEFORMAT </w:instrText>
    </w:r>
    <w:r w:rsidRPr="000E2D50">
      <w:rPr>
        <w:rFonts w:ascii="Franklin Gothic Medium" w:hAnsi="Franklin Gothic Medium"/>
        <w:color w:val="55565A" w:themeColor="accent5"/>
        <w:sz w:val="16"/>
        <w:szCs w:val="16"/>
      </w:rPr>
      <w:fldChar w:fldCharType="separate"/>
    </w:r>
    <w:r w:rsidR="00940093">
      <w:rPr>
        <w:rFonts w:ascii="Franklin Gothic Medium" w:hAnsi="Franklin Gothic Medium"/>
        <w:noProof/>
        <w:color w:val="55565A" w:themeColor="accent5"/>
        <w:sz w:val="16"/>
        <w:szCs w:val="16"/>
      </w:rPr>
      <w:t>1</w:t>
    </w:r>
    <w:r w:rsidRPr="000E2D50">
      <w:rPr>
        <w:rFonts w:ascii="Franklin Gothic Medium" w:hAnsi="Franklin Gothic Medium"/>
        <w:noProof/>
        <w:color w:val="55565A" w:themeColor="accent5"/>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43C" w:rsidRDefault="0064043C" w:rsidP="008B6817">
      <w:pPr>
        <w:spacing w:after="0" w:line="240" w:lineRule="auto"/>
      </w:pPr>
      <w:r>
        <w:separator/>
      </w:r>
    </w:p>
  </w:footnote>
  <w:footnote w:type="continuationSeparator" w:id="0">
    <w:p w:rsidR="0064043C" w:rsidRDefault="0064043C" w:rsidP="008B6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817" w:rsidRDefault="008B6817" w:rsidP="008B6817">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38E" w:rsidRDefault="00C01D87">
    <w:pPr>
      <w:pStyle w:val="Header"/>
    </w:pPr>
    <w:r>
      <w:rPr>
        <w:noProof/>
      </w:rPr>
      <mc:AlternateContent>
        <mc:Choice Requires="wps">
          <w:drawing>
            <wp:anchor distT="45720" distB="45720" distL="114300" distR="114300" simplePos="0" relativeHeight="251662336" behindDoc="0" locked="0" layoutInCell="1" allowOverlap="1">
              <wp:simplePos x="0" y="0"/>
              <wp:positionH relativeFrom="column">
                <wp:posOffset>2606040</wp:posOffset>
              </wp:positionH>
              <wp:positionV relativeFrom="paragraph">
                <wp:posOffset>-628650</wp:posOffset>
              </wp:positionV>
              <wp:extent cx="3571875" cy="7334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733425"/>
                      </a:xfrm>
                      <a:prstGeom prst="rect">
                        <a:avLst/>
                      </a:prstGeom>
                      <a:noFill/>
                      <a:ln w="9525">
                        <a:noFill/>
                        <a:miter lim="800000"/>
                        <a:headEnd/>
                        <a:tailEnd/>
                      </a:ln>
                    </wps:spPr>
                    <wps:txbx>
                      <w:txbxContent>
                        <w:p w:rsidR="005D1A45" w:rsidRDefault="00940093" w:rsidP="005D1A45">
                          <w:pPr>
                            <w:spacing w:line="240" w:lineRule="auto"/>
                            <w:contextualSpacing/>
                            <w:jc w:val="center"/>
                            <w:rPr>
                              <w:color w:val="FFFFFF" w:themeColor="background1"/>
                              <w:sz w:val="40"/>
                              <w:szCs w:val="40"/>
                            </w:rPr>
                          </w:pPr>
                          <w:r>
                            <w:rPr>
                              <w:color w:val="FFFFFF" w:themeColor="background1"/>
                              <w:sz w:val="40"/>
                              <w:szCs w:val="40"/>
                            </w:rPr>
                            <w:t>2017 Equal Justice Works</w:t>
                          </w:r>
                        </w:p>
                        <w:p w:rsidR="00940093" w:rsidRPr="00C01D87" w:rsidRDefault="00940093" w:rsidP="005D1A45">
                          <w:pPr>
                            <w:spacing w:line="240" w:lineRule="auto"/>
                            <w:contextualSpacing/>
                            <w:jc w:val="center"/>
                            <w:rPr>
                              <w:color w:val="FFFFFF" w:themeColor="background1"/>
                              <w:sz w:val="40"/>
                              <w:szCs w:val="40"/>
                            </w:rPr>
                          </w:pPr>
                          <w:r>
                            <w:rPr>
                              <w:color w:val="FFFFFF" w:themeColor="background1"/>
                              <w:sz w:val="40"/>
                              <w:szCs w:val="40"/>
                            </w:rPr>
                            <w:t>Public Interest Law Awards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2pt;margin-top:-49.5pt;width:281.25pt;height:5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" filled="f" stroked="f">
              <v:textbox>
                <w:txbxContent>
                  <w:p w:rsidR="005D1A45" w:rsidRDefault="00940093" w:rsidP="005D1A45">
                    <w:pPr>
                      <w:spacing w:line="240" w:lineRule="auto"/>
                      <w:contextualSpacing/>
                      <w:jc w:val="center"/>
                      <w:rPr>
                        <w:color w:val="FFFFFF" w:themeColor="background1"/>
                        <w:sz w:val="40"/>
                        <w:szCs w:val="40"/>
                      </w:rPr>
                    </w:pPr>
                    <w:r>
                      <w:rPr>
                        <w:color w:val="FFFFFF" w:themeColor="background1"/>
                        <w:sz w:val="40"/>
                        <w:szCs w:val="40"/>
                      </w:rPr>
                      <w:t>2017 Equal Justice Works</w:t>
                    </w:r>
                  </w:p>
                  <w:p w:rsidR="00940093" w:rsidRPr="00C01D87" w:rsidRDefault="00940093" w:rsidP="005D1A45">
                    <w:pPr>
                      <w:spacing w:line="240" w:lineRule="auto"/>
                      <w:contextualSpacing/>
                      <w:jc w:val="center"/>
                      <w:rPr>
                        <w:color w:val="FFFFFF" w:themeColor="background1"/>
                        <w:sz w:val="40"/>
                        <w:szCs w:val="40"/>
                      </w:rPr>
                    </w:pPr>
                    <w:r>
                      <w:rPr>
                        <w:color w:val="FFFFFF" w:themeColor="background1"/>
                        <w:sz w:val="40"/>
                        <w:szCs w:val="40"/>
                      </w:rPr>
                      <w:t>Public Interest Law Awards</w:t>
                    </w:r>
                  </w:p>
                </w:txbxContent>
              </v:textbox>
              <w10:wrap type="square"/>
            </v:shape>
          </w:pict>
        </mc:Fallback>
      </mc:AlternateContent>
    </w:r>
    <w:r w:rsidR="0086638E">
      <w:rPr>
        <w:noProof/>
      </w:rPr>
      <w:drawing>
        <wp:anchor distT="0" distB="0" distL="114300" distR="114300" simplePos="0" relativeHeight="251660288" behindDoc="0" locked="0" layoutInCell="1" allowOverlap="1" wp14:anchorId="6D5364C5" wp14:editId="334DCC22">
          <wp:simplePos x="0" y="0"/>
          <wp:positionH relativeFrom="page">
            <wp:align>left</wp:align>
          </wp:positionH>
          <wp:positionV relativeFrom="paragraph">
            <wp:posOffset>-664012</wp:posOffset>
          </wp:positionV>
          <wp:extent cx="7789213" cy="818866"/>
          <wp:effectExtent l="0" t="0" r="2540"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th-Anniversary-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9213" cy="81886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983"/>
    <w:multiLevelType w:val="hybridMultilevel"/>
    <w:tmpl w:val="29F039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12149"/>
    <w:multiLevelType w:val="hybridMultilevel"/>
    <w:tmpl w:val="37784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27281"/>
    <w:multiLevelType w:val="hybridMultilevel"/>
    <w:tmpl w:val="21B80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85184"/>
    <w:multiLevelType w:val="hybridMultilevel"/>
    <w:tmpl w:val="ED8A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749C9"/>
    <w:multiLevelType w:val="hybridMultilevel"/>
    <w:tmpl w:val="E66E9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7081E"/>
    <w:multiLevelType w:val="hybridMultilevel"/>
    <w:tmpl w:val="1F46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720EA"/>
    <w:multiLevelType w:val="hybridMultilevel"/>
    <w:tmpl w:val="DF0E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703D0"/>
    <w:multiLevelType w:val="hybridMultilevel"/>
    <w:tmpl w:val="D0A85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B5B34"/>
    <w:multiLevelType w:val="hybridMultilevel"/>
    <w:tmpl w:val="55AC1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74B01"/>
    <w:multiLevelType w:val="hybridMultilevel"/>
    <w:tmpl w:val="4F10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06866"/>
    <w:multiLevelType w:val="hybridMultilevel"/>
    <w:tmpl w:val="CB2284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15D72"/>
    <w:multiLevelType w:val="hybridMultilevel"/>
    <w:tmpl w:val="4A6099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C37D3"/>
    <w:multiLevelType w:val="hybridMultilevel"/>
    <w:tmpl w:val="979A6B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C3FDF"/>
    <w:multiLevelType w:val="hybridMultilevel"/>
    <w:tmpl w:val="29CE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7D3F08"/>
    <w:multiLevelType w:val="hybridMultilevel"/>
    <w:tmpl w:val="D31A4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16D96"/>
    <w:multiLevelType w:val="hybridMultilevel"/>
    <w:tmpl w:val="A1D6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1F7ACC"/>
    <w:multiLevelType w:val="hybridMultilevel"/>
    <w:tmpl w:val="90AEC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B2345"/>
    <w:multiLevelType w:val="hybridMultilevel"/>
    <w:tmpl w:val="1F2A0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E365CB"/>
    <w:multiLevelType w:val="hybridMultilevel"/>
    <w:tmpl w:val="E672383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FD1673"/>
    <w:multiLevelType w:val="hybridMultilevel"/>
    <w:tmpl w:val="E1B8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2755A"/>
    <w:multiLevelType w:val="hybridMultilevel"/>
    <w:tmpl w:val="ED22CE1E"/>
    <w:lvl w:ilvl="0" w:tplc="44DAD0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41615B"/>
    <w:multiLevelType w:val="hybridMultilevel"/>
    <w:tmpl w:val="3468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4771B6"/>
    <w:multiLevelType w:val="hybridMultilevel"/>
    <w:tmpl w:val="3B2C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92178B"/>
    <w:multiLevelType w:val="hybridMultilevel"/>
    <w:tmpl w:val="A35C98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5C3233"/>
    <w:multiLevelType w:val="hybridMultilevel"/>
    <w:tmpl w:val="003C552C"/>
    <w:lvl w:ilvl="0" w:tplc="E93C3BEA">
      <w:start w:val="1"/>
      <w:numFmt w:val="bullet"/>
      <w:pStyle w:val="EJW-Bullet-Lis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60235E2B"/>
    <w:multiLevelType w:val="hybridMultilevel"/>
    <w:tmpl w:val="69A68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6C5887"/>
    <w:multiLevelType w:val="hybridMultilevel"/>
    <w:tmpl w:val="0988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34CFD"/>
    <w:multiLevelType w:val="hybridMultilevel"/>
    <w:tmpl w:val="A3AEEAA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34075"/>
    <w:multiLevelType w:val="hybridMultilevel"/>
    <w:tmpl w:val="EEF8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9B28FE"/>
    <w:multiLevelType w:val="hybridMultilevel"/>
    <w:tmpl w:val="B8CC06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9"/>
  </w:num>
  <w:num w:numId="4">
    <w:abstractNumId w:val="18"/>
  </w:num>
  <w:num w:numId="5">
    <w:abstractNumId w:val="10"/>
  </w:num>
  <w:num w:numId="6">
    <w:abstractNumId w:val="11"/>
  </w:num>
  <w:num w:numId="7">
    <w:abstractNumId w:val="2"/>
  </w:num>
  <w:num w:numId="8">
    <w:abstractNumId w:val="27"/>
  </w:num>
  <w:num w:numId="9">
    <w:abstractNumId w:val="12"/>
  </w:num>
  <w:num w:numId="10">
    <w:abstractNumId w:val="29"/>
  </w:num>
  <w:num w:numId="11">
    <w:abstractNumId w:val="0"/>
  </w:num>
  <w:num w:numId="12">
    <w:abstractNumId w:val="1"/>
  </w:num>
  <w:num w:numId="13">
    <w:abstractNumId w:val="23"/>
  </w:num>
  <w:num w:numId="14">
    <w:abstractNumId w:val="20"/>
  </w:num>
  <w:num w:numId="15">
    <w:abstractNumId w:val="16"/>
  </w:num>
  <w:num w:numId="16">
    <w:abstractNumId w:val="7"/>
  </w:num>
  <w:num w:numId="17">
    <w:abstractNumId w:val="25"/>
  </w:num>
  <w:num w:numId="18">
    <w:abstractNumId w:val="8"/>
  </w:num>
  <w:num w:numId="19">
    <w:abstractNumId w:val="13"/>
  </w:num>
  <w:num w:numId="20">
    <w:abstractNumId w:val="19"/>
  </w:num>
  <w:num w:numId="21">
    <w:abstractNumId w:val="4"/>
  </w:num>
  <w:num w:numId="22">
    <w:abstractNumId w:val="14"/>
  </w:num>
  <w:num w:numId="23">
    <w:abstractNumId w:val="21"/>
  </w:num>
  <w:num w:numId="24">
    <w:abstractNumId w:val="22"/>
  </w:num>
  <w:num w:numId="25">
    <w:abstractNumId w:val="6"/>
  </w:num>
  <w:num w:numId="26">
    <w:abstractNumId w:val="15"/>
  </w:num>
  <w:num w:numId="27">
    <w:abstractNumId w:val="28"/>
  </w:num>
  <w:num w:numId="28">
    <w:abstractNumId w:val="5"/>
  </w:num>
  <w:num w:numId="29">
    <w:abstractNumId w:val="1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0E"/>
    <w:rsid w:val="000629D8"/>
    <w:rsid w:val="00062D98"/>
    <w:rsid w:val="000857FD"/>
    <w:rsid w:val="000C7A5A"/>
    <w:rsid w:val="000E2D50"/>
    <w:rsid w:val="00115B39"/>
    <w:rsid w:val="00124F86"/>
    <w:rsid w:val="00152022"/>
    <w:rsid w:val="00173036"/>
    <w:rsid w:val="00196441"/>
    <w:rsid w:val="001A4DD3"/>
    <w:rsid w:val="001F586C"/>
    <w:rsid w:val="00224D90"/>
    <w:rsid w:val="00261284"/>
    <w:rsid w:val="002C71EE"/>
    <w:rsid w:val="002F32C5"/>
    <w:rsid w:val="003718F1"/>
    <w:rsid w:val="00380146"/>
    <w:rsid w:val="0038608A"/>
    <w:rsid w:val="003A49B4"/>
    <w:rsid w:val="004754D3"/>
    <w:rsid w:val="00507AE3"/>
    <w:rsid w:val="00557C18"/>
    <w:rsid w:val="005D1A45"/>
    <w:rsid w:val="005D1F3C"/>
    <w:rsid w:val="005F79D1"/>
    <w:rsid w:val="00631C23"/>
    <w:rsid w:val="0064043C"/>
    <w:rsid w:val="006431E4"/>
    <w:rsid w:val="006C2455"/>
    <w:rsid w:val="00710339"/>
    <w:rsid w:val="00723522"/>
    <w:rsid w:val="00795BFE"/>
    <w:rsid w:val="007B7A1B"/>
    <w:rsid w:val="007E18B1"/>
    <w:rsid w:val="00831379"/>
    <w:rsid w:val="00837753"/>
    <w:rsid w:val="00852ABC"/>
    <w:rsid w:val="0086638E"/>
    <w:rsid w:val="008B458F"/>
    <w:rsid w:val="008B6817"/>
    <w:rsid w:val="00940093"/>
    <w:rsid w:val="00960880"/>
    <w:rsid w:val="00A12C0E"/>
    <w:rsid w:val="00A27860"/>
    <w:rsid w:val="00AD614C"/>
    <w:rsid w:val="00B12C79"/>
    <w:rsid w:val="00B1594C"/>
    <w:rsid w:val="00B31ED6"/>
    <w:rsid w:val="00B95E90"/>
    <w:rsid w:val="00BC36E1"/>
    <w:rsid w:val="00BD289C"/>
    <w:rsid w:val="00BE703C"/>
    <w:rsid w:val="00C01D87"/>
    <w:rsid w:val="00D029DE"/>
    <w:rsid w:val="00DA409B"/>
    <w:rsid w:val="00EC5530"/>
    <w:rsid w:val="00F0764F"/>
    <w:rsid w:val="00F123C7"/>
    <w:rsid w:val="00F554FD"/>
    <w:rsid w:val="00F9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88776"/>
  <w15:chartTrackingRefBased/>
  <w15:docId w15:val="{5E2AF4E9-5219-49BD-A023-DB5A5C92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2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817"/>
  </w:style>
  <w:style w:type="paragraph" w:styleId="Footer">
    <w:name w:val="footer"/>
    <w:basedOn w:val="Normal"/>
    <w:link w:val="FooterChar"/>
    <w:uiPriority w:val="99"/>
    <w:unhideWhenUsed/>
    <w:rsid w:val="008B6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817"/>
  </w:style>
  <w:style w:type="paragraph" w:customStyle="1" w:styleId="EJW-Title-Text">
    <w:name w:val="EJW-Title-Text"/>
    <w:basedOn w:val="Normal"/>
    <w:link w:val="EJW-Title-TextChar"/>
    <w:qFormat/>
    <w:rsid w:val="00723522"/>
    <w:rPr>
      <w:rFonts w:ascii="Franklin Gothic Medium" w:hAnsi="Franklin Gothic Medium"/>
      <w:color w:val="000000" w:themeColor="text1"/>
      <w:sz w:val="40"/>
      <w:szCs w:val="40"/>
    </w:rPr>
  </w:style>
  <w:style w:type="paragraph" w:customStyle="1" w:styleId="EJW-Subtitle-1">
    <w:name w:val="EJW-Subtitle-1"/>
    <w:basedOn w:val="Normal"/>
    <w:link w:val="EJW-Subtitle-1Char"/>
    <w:qFormat/>
    <w:rsid w:val="00B31ED6"/>
    <w:rPr>
      <w:rFonts w:ascii="Franklin Gothic Medium" w:hAnsi="Franklin Gothic Medium"/>
      <w:caps/>
      <w:color w:val="000000" w:themeColor="text1"/>
      <w:sz w:val="24"/>
      <w:szCs w:val="24"/>
    </w:rPr>
  </w:style>
  <w:style w:type="character" w:customStyle="1" w:styleId="EJW-Title-TextChar">
    <w:name w:val="EJW-Title-Text Char"/>
    <w:basedOn w:val="DefaultParagraphFont"/>
    <w:link w:val="EJW-Title-Text"/>
    <w:rsid w:val="00723522"/>
    <w:rPr>
      <w:rFonts w:ascii="Franklin Gothic Medium" w:hAnsi="Franklin Gothic Medium"/>
      <w:color w:val="000000" w:themeColor="text1"/>
      <w:sz w:val="40"/>
      <w:szCs w:val="40"/>
    </w:rPr>
  </w:style>
  <w:style w:type="paragraph" w:customStyle="1" w:styleId="EJW-Subtitle-2">
    <w:name w:val="EJW-Subtitle-2"/>
    <w:basedOn w:val="Normal"/>
    <w:link w:val="EJW-Subtitle-2Char"/>
    <w:qFormat/>
    <w:rsid w:val="00EC5530"/>
    <w:rPr>
      <w:rFonts w:ascii="Franklin Gothic Medium" w:hAnsi="Franklin Gothic Medium"/>
      <w:i/>
      <w:color w:val="000000" w:themeColor="text1"/>
      <w:sz w:val="24"/>
      <w:szCs w:val="24"/>
    </w:rPr>
  </w:style>
  <w:style w:type="character" w:customStyle="1" w:styleId="EJW-Subtitle-1Char">
    <w:name w:val="EJW-Subtitle-1 Char"/>
    <w:basedOn w:val="DefaultParagraphFont"/>
    <w:link w:val="EJW-Subtitle-1"/>
    <w:rsid w:val="00B31ED6"/>
    <w:rPr>
      <w:rFonts w:ascii="Franklin Gothic Medium" w:hAnsi="Franklin Gothic Medium"/>
      <w:caps/>
      <w:color w:val="000000" w:themeColor="text1"/>
      <w:sz w:val="24"/>
      <w:szCs w:val="24"/>
    </w:rPr>
  </w:style>
  <w:style w:type="paragraph" w:customStyle="1" w:styleId="EJW-Body-Text">
    <w:name w:val="EJW-Body-Text"/>
    <w:basedOn w:val="Normal"/>
    <w:link w:val="EJW-Body-TextChar"/>
    <w:qFormat/>
    <w:rsid w:val="00723522"/>
    <w:pPr>
      <w:spacing w:line="240" w:lineRule="auto"/>
    </w:pPr>
    <w:rPr>
      <w:rFonts w:ascii="Franklin Gothic Book" w:hAnsi="Franklin Gothic Book"/>
      <w:color w:val="262626" w:themeColor="text1" w:themeTint="D9"/>
    </w:rPr>
  </w:style>
  <w:style w:type="character" w:customStyle="1" w:styleId="EJW-Subtitle-2Char">
    <w:name w:val="EJW-Subtitle-2 Char"/>
    <w:basedOn w:val="DefaultParagraphFont"/>
    <w:link w:val="EJW-Subtitle-2"/>
    <w:rsid w:val="00EC5530"/>
    <w:rPr>
      <w:rFonts w:ascii="Franklin Gothic Medium" w:hAnsi="Franklin Gothic Medium"/>
      <w:i/>
      <w:color w:val="000000" w:themeColor="text1"/>
      <w:sz w:val="24"/>
      <w:szCs w:val="24"/>
    </w:rPr>
  </w:style>
  <w:style w:type="paragraph" w:customStyle="1" w:styleId="EJW-Bullet-List">
    <w:name w:val="EJW-Bullet-List"/>
    <w:basedOn w:val="EJW-Body-Text"/>
    <w:link w:val="EJW-Bullet-ListChar"/>
    <w:qFormat/>
    <w:rsid w:val="000E2D50"/>
    <w:pPr>
      <w:numPr>
        <w:numId w:val="1"/>
      </w:numPr>
    </w:pPr>
  </w:style>
  <w:style w:type="character" w:customStyle="1" w:styleId="EJW-Body-TextChar">
    <w:name w:val="EJW-Body-Text Char"/>
    <w:basedOn w:val="DefaultParagraphFont"/>
    <w:link w:val="EJW-Body-Text"/>
    <w:rsid w:val="00723522"/>
    <w:rPr>
      <w:rFonts w:ascii="Franklin Gothic Book" w:hAnsi="Franklin Gothic Book"/>
      <w:color w:val="262626" w:themeColor="text1" w:themeTint="D9"/>
    </w:rPr>
  </w:style>
  <w:style w:type="character" w:customStyle="1" w:styleId="EJW-Bullet-ListChar">
    <w:name w:val="EJW-Bullet-List Char"/>
    <w:basedOn w:val="EJW-Body-TextChar"/>
    <w:link w:val="EJW-Bullet-List"/>
    <w:rsid w:val="000E2D50"/>
    <w:rPr>
      <w:rFonts w:ascii="Franklin Gothic Book" w:hAnsi="Franklin Gothic Book"/>
      <w:color w:val="262626" w:themeColor="text1" w:themeTint="D9"/>
    </w:rPr>
  </w:style>
  <w:style w:type="paragraph" w:styleId="BalloonText">
    <w:name w:val="Balloon Text"/>
    <w:basedOn w:val="Normal"/>
    <w:link w:val="BalloonTextChar"/>
    <w:uiPriority w:val="99"/>
    <w:semiHidden/>
    <w:unhideWhenUsed/>
    <w:rsid w:val="00F97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D90"/>
    <w:rPr>
      <w:rFonts w:ascii="Segoe UI" w:hAnsi="Segoe UI" w:cs="Segoe UI"/>
      <w:sz w:val="18"/>
      <w:szCs w:val="18"/>
    </w:rPr>
  </w:style>
  <w:style w:type="paragraph" w:customStyle="1" w:styleId="EJW-MeetingLogisticsText">
    <w:name w:val="EJW-Meeting Logistics Text"/>
    <w:basedOn w:val="EJW-Body-Text"/>
    <w:link w:val="EJW-MeetingLogisticsTextChar"/>
    <w:qFormat/>
    <w:rsid w:val="00723522"/>
    <w:pPr>
      <w:spacing w:after="40"/>
    </w:pPr>
  </w:style>
  <w:style w:type="table" w:styleId="TableGrid">
    <w:name w:val="Table Grid"/>
    <w:basedOn w:val="TableNormal"/>
    <w:uiPriority w:val="39"/>
    <w:rsid w:val="0072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JW-MeetingLogisticsTextChar">
    <w:name w:val="EJW-Meeting Logistics Text Char"/>
    <w:basedOn w:val="EJW-Body-TextChar"/>
    <w:link w:val="EJW-MeetingLogisticsText"/>
    <w:rsid w:val="00723522"/>
    <w:rPr>
      <w:rFonts w:ascii="Franklin Gothic Book" w:hAnsi="Franklin Gothic Book"/>
      <w:color w:val="262626" w:themeColor="text1" w:themeTint="D9"/>
    </w:rPr>
  </w:style>
  <w:style w:type="paragraph" w:styleId="ListParagraph">
    <w:name w:val="List Paragraph"/>
    <w:basedOn w:val="Normal"/>
    <w:uiPriority w:val="34"/>
    <w:qFormat/>
    <w:rsid w:val="00261284"/>
    <w:pPr>
      <w:ind w:left="720"/>
      <w:contextualSpacing/>
    </w:pPr>
  </w:style>
  <w:style w:type="character" w:styleId="Hyperlink">
    <w:name w:val="Hyperlink"/>
    <w:basedOn w:val="DefaultParagraphFont"/>
    <w:uiPriority w:val="99"/>
    <w:unhideWhenUsed/>
    <w:rsid w:val="00261284"/>
    <w:rPr>
      <w:color w:val="0563C1" w:themeColor="hyperlink"/>
      <w:u w:val="single"/>
    </w:rPr>
  </w:style>
  <w:style w:type="character" w:styleId="Strong">
    <w:name w:val="Strong"/>
    <w:basedOn w:val="DefaultParagraphFont"/>
    <w:uiPriority w:val="22"/>
    <w:qFormat/>
    <w:rsid w:val="00D029DE"/>
    <w:rPr>
      <w:b/>
      <w:bCs/>
    </w:rPr>
  </w:style>
  <w:style w:type="character" w:styleId="CommentReference">
    <w:name w:val="annotation reference"/>
    <w:basedOn w:val="DefaultParagraphFont"/>
    <w:uiPriority w:val="99"/>
    <w:semiHidden/>
    <w:unhideWhenUsed/>
    <w:rsid w:val="005F79D1"/>
    <w:rPr>
      <w:sz w:val="16"/>
      <w:szCs w:val="16"/>
    </w:rPr>
  </w:style>
  <w:style w:type="paragraph" w:styleId="CommentText">
    <w:name w:val="annotation text"/>
    <w:basedOn w:val="Normal"/>
    <w:link w:val="CommentTextChar"/>
    <w:uiPriority w:val="99"/>
    <w:semiHidden/>
    <w:unhideWhenUsed/>
    <w:rsid w:val="005F79D1"/>
    <w:pPr>
      <w:spacing w:line="240" w:lineRule="auto"/>
    </w:pPr>
    <w:rPr>
      <w:sz w:val="20"/>
      <w:szCs w:val="20"/>
    </w:rPr>
  </w:style>
  <w:style w:type="character" w:customStyle="1" w:styleId="CommentTextChar">
    <w:name w:val="Comment Text Char"/>
    <w:basedOn w:val="DefaultParagraphFont"/>
    <w:link w:val="CommentText"/>
    <w:uiPriority w:val="99"/>
    <w:semiHidden/>
    <w:rsid w:val="005F79D1"/>
    <w:rPr>
      <w:sz w:val="20"/>
      <w:szCs w:val="20"/>
    </w:rPr>
  </w:style>
  <w:style w:type="paragraph" w:styleId="CommentSubject">
    <w:name w:val="annotation subject"/>
    <w:basedOn w:val="CommentText"/>
    <w:next w:val="CommentText"/>
    <w:link w:val="CommentSubjectChar"/>
    <w:uiPriority w:val="99"/>
    <w:semiHidden/>
    <w:unhideWhenUsed/>
    <w:rsid w:val="005F79D1"/>
    <w:rPr>
      <w:b/>
      <w:bCs/>
    </w:rPr>
  </w:style>
  <w:style w:type="character" w:customStyle="1" w:styleId="CommentSubjectChar">
    <w:name w:val="Comment Subject Char"/>
    <w:basedOn w:val="CommentTextChar"/>
    <w:link w:val="CommentSubject"/>
    <w:uiPriority w:val="99"/>
    <w:semiHidden/>
    <w:rsid w:val="005F79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4990"/>
      </a:accent1>
      <a:accent2>
        <a:srgbClr val="7297C4"/>
      </a:accent2>
      <a:accent3>
        <a:srgbClr val="B1B1B4"/>
      </a:accent3>
      <a:accent4>
        <a:srgbClr val="FFD457"/>
      </a:accent4>
      <a:accent5>
        <a:srgbClr val="55565A"/>
      </a:accent5>
      <a:accent6>
        <a:srgbClr val="4A627F"/>
      </a:accent6>
      <a:hlink>
        <a:srgbClr val="0563C1"/>
      </a:hlink>
      <a:folHlink>
        <a:srgbClr val="B814C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25356-D6FA-4962-9092-B710F9934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Shanley</dc:creator>
  <cp:keywords/>
  <dc:description/>
  <cp:lastModifiedBy>Ashley Matthews</cp:lastModifiedBy>
  <cp:revision>2</cp:revision>
  <cp:lastPrinted>2016-09-19T19:32:00Z</cp:lastPrinted>
  <dcterms:created xsi:type="dcterms:W3CDTF">2016-11-10T22:07:00Z</dcterms:created>
  <dcterms:modified xsi:type="dcterms:W3CDTF">2016-11-10T22:07:00Z</dcterms:modified>
</cp:coreProperties>
</file>